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D3BA" w14:textId="77777777" w:rsidR="001E78F8" w:rsidRPr="00304558" w:rsidRDefault="001E78F8" w:rsidP="008576AA">
      <w:pPr>
        <w:pStyle w:val="SOPLevel1"/>
      </w:pPr>
      <w:r w:rsidRPr="00304558">
        <w:t>PURPOSE</w:t>
      </w:r>
    </w:p>
    <w:p w14:paraId="4F4F47AF" w14:textId="77777777" w:rsidR="001E78F8" w:rsidRPr="00304558" w:rsidRDefault="001E78F8" w:rsidP="00BA6AAD">
      <w:pPr>
        <w:pStyle w:val="SOPLevel2"/>
      </w:pPr>
      <w:r w:rsidRPr="00304558">
        <w:t xml:space="preserve">This procedure establishes the process for a </w:t>
      </w:r>
      <w:r w:rsidRPr="00304558">
        <w:rPr>
          <w:u w:val="double"/>
        </w:rPr>
        <w:t>Designated Reviewer</w:t>
      </w:r>
      <w:r w:rsidRPr="00304558">
        <w:t xml:space="preserve"> to determine whether current subjects may continue in expired research.</w:t>
      </w:r>
    </w:p>
    <w:p w14:paraId="2F7DD87F" w14:textId="77777777" w:rsidR="001E78F8" w:rsidRPr="00304558" w:rsidRDefault="001E78F8" w:rsidP="00BA6AAD">
      <w:pPr>
        <w:pStyle w:val="SOPLevel2"/>
      </w:pPr>
      <w:r w:rsidRPr="00304558">
        <w:t xml:space="preserve">The process begins when the </w:t>
      </w:r>
      <w:r w:rsidRPr="00304558">
        <w:rPr>
          <w:u w:val="double"/>
        </w:rPr>
        <w:t>Designated Reviewer</w:t>
      </w:r>
      <w:r w:rsidRPr="00304558">
        <w:t xml:space="preserve"> is notified of a request by an investigator of a request for current subjects to continue in expired research.</w:t>
      </w:r>
    </w:p>
    <w:p w14:paraId="09E74466" w14:textId="77777777" w:rsidR="001E78F8" w:rsidRPr="00304558" w:rsidRDefault="001E78F8" w:rsidP="00BA6AAD">
      <w:pPr>
        <w:pStyle w:val="SOPLevel2"/>
      </w:pPr>
      <w:r w:rsidRPr="00304558">
        <w:t xml:space="preserve">The process ends when the </w:t>
      </w:r>
      <w:r w:rsidRPr="00304558">
        <w:rPr>
          <w:u w:val="double"/>
        </w:rPr>
        <w:t>Designated Reviewer</w:t>
      </w:r>
      <w:r w:rsidRPr="00304558">
        <w:t xml:space="preserve"> has communicated a decision and documented the decision in writing.</w:t>
      </w:r>
    </w:p>
    <w:p w14:paraId="0837C2BE" w14:textId="77777777" w:rsidR="001E78F8" w:rsidRPr="00304558" w:rsidRDefault="001E78F8" w:rsidP="008576AA">
      <w:pPr>
        <w:pStyle w:val="SOPLevel1"/>
      </w:pPr>
      <w:r w:rsidRPr="00304558">
        <w:t>REVISIONS FROM PREVIOUS VERSION</w:t>
      </w:r>
    </w:p>
    <w:tbl>
      <w:tblPr>
        <w:tblStyle w:val="TableGrid"/>
        <w:tblW w:w="0" w:type="auto"/>
        <w:tblInd w:w="360" w:type="dxa"/>
        <w:tblLook w:val="04A0" w:firstRow="1" w:lastRow="0" w:firstColumn="1" w:lastColumn="0" w:noHBand="0" w:noVBand="1"/>
      </w:tblPr>
      <w:tblGrid>
        <w:gridCol w:w="2985"/>
        <w:gridCol w:w="2989"/>
        <w:gridCol w:w="3016"/>
      </w:tblGrid>
      <w:tr w:rsidR="003739FA" w14:paraId="1D7E9479" w14:textId="77777777" w:rsidTr="00180B2E">
        <w:tc>
          <w:tcPr>
            <w:tcW w:w="2985" w:type="dxa"/>
            <w:tcBorders>
              <w:top w:val="single" w:sz="4" w:space="0" w:color="auto"/>
              <w:left w:val="single" w:sz="4" w:space="0" w:color="auto"/>
              <w:bottom w:val="single" w:sz="4" w:space="0" w:color="auto"/>
              <w:right w:val="single" w:sz="4" w:space="0" w:color="auto"/>
            </w:tcBorders>
            <w:hideMark/>
          </w:tcPr>
          <w:p w14:paraId="5E36A3A6" w14:textId="77777777" w:rsidR="003739FA" w:rsidRDefault="003739FA" w:rsidP="00865B19">
            <w:pPr>
              <w:pStyle w:val="SOPLevel1"/>
              <w:numPr>
                <w:ilvl w:val="0"/>
                <w:numId w:val="0"/>
              </w:numPr>
              <w:tabs>
                <w:tab w:val="left" w:pos="720"/>
              </w:tabs>
              <w:jc w:val="center"/>
            </w:pPr>
            <w:r>
              <w:t>Version</w:t>
            </w:r>
          </w:p>
        </w:tc>
        <w:tc>
          <w:tcPr>
            <w:tcW w:w="2989" w:type="dxa"/>
            <w:tcBorders>
              <w:top w:val="single" w:sz="4" w:space="0" w:color="auto"/>
              <w:left w:val="single" w:sz="4" w:space="0" w:color="auto"/>
              <w:bottom w:val="single" w:sz="4" w:space="0" w:color="auto"/>
              <w:right w:val="single" w:sz="4" w:space="0" w:color="auto"/>
            </w:tcBorders>
            <w:hideMark/>
          </w:tcPr>
          <w:p w14:paraId="71311315" w14:textId="77777777" w:rsidR="003739FA" w:rsidRDefault="003739FA" w:rsidP="00865B19">
            <w:pPr>
              <w:pStyle w:val="SOPLevel1"/>
              <w:numPr>
                <w:ilvl w:val="0"/>
                <w:numId w:val="0"/>
              </w:numPr>
              <w:tabs>
                <w:tab w:val="left" w:pos="720"/>
              </w:tabs>
              <w:jc w:val="center"/>
            </w:pPr>
            <w:r>
              <w:t>Date</w:t>
            </w:r>
          </w:p>
        </w:tc>
        <w:tc>
          <w:tcPr>
            <w:tcW w:w="3016" w:type="dxa"/>
            <w:tcBorders>
              <w:top w:val="single" w:sz="4" w:space="0" w:color="auto"/>
              <w:left w:val="single" w:sz="4" w:space="0" w:color="auto"/>
              <w:bottom w:val="single" w:sz="4" w:space="0" w:color="auto"/>
              <w:right w:val="single" w:sz="4" w:space="0" w:color="auto"/>
            </w:tcBorders>
            <w:hideMark/>
          </w:tcPr>
          <w:p w14:paraId="02B60F88" w14:textId="77777777" w:rsidR="003739FA" w:rsidRDefault="003739FA" w:rsidP="00865B19">
            <w:pPr>
              <w:pStyle w:val="SOPLevel1"/>
              <w:numPr>
                <w:ilvl w:val="0"/>
                <w:numId w:val="0"/>
              </w:numPr>
              <w:tabs>
                <w:tab w:val="left" w:pos="720"/>
              </w:tabs>
              <w:jc w:val="center"/>
            </w:pPr>
            <w:r>
              <w:t>Revisions</w:t>
            </w:r>
          </w:p>
        </w:tc>
      </w:tr>
      <w:tr w:rsidR="003739FA" w14:paraId="528B7EA1" w14:textId="77777777" w:rsidTr="00180B2E">
        <w:tc>
          <w:tcPr>
            <w:tcW w:w="2985" w:type="dxa"/>
            <w:tcBorders>
              <w:top w:val="single" w:sz="4" w:space="0" w:color="auto"/>
              <w:left w:val="single" w:sz="4" w:space="0" w:color="auto"/>
              <w:bottom w:val="single" w:sz="4" w:space="0" w:color="auto"/>
              <w:right w:val="single" w:sz="4" w:space="0" w:color="auto"/>
            </w:tcBorders>
            <w:hideMark/>
          </w:tcPr>
          <w:p w14:paraId="1C12A50D" w14:textId="77777777" w:rsidR="003739FA" w:rsidRDefault="003739FA" w:rsidP="00865B19">
            <w:pPr>
              <w:pStyle w:val="SOPLevel1"/>
              <w:numPr>
                <w:ilvl w:val="0"/>
                <w:numId w:val="0"/>
              </w:numPr>
              <w:tabs>
                <w:tab w:val="left" w:pos="720"/>
              </w:tabs>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hideMark/>
          </w:tcPr>
          <w:p w14:paraId="1252ABF5" w14:textId="77777777" w:rsidR="003739FA" w:rsidRDefault="003739FA" w:rsidP="00865B19">
            <w:pPr>
              <w:pStyle w:val="SOPLevel1"/>
              <w:numPr>
                <w:ilvl w:val="0"/>
                <w:numId w:val="0"/>
              </w:numPr>
              <w:tabs>
                <w:tab w:val="left" w:pos="720"/>
              </w:tabs>
              <w:jc w:val="center"/>
              <w:rPr>
                <w:b w:val="0"/>
              </w:rPr>
            </w:pPr>
            <w:r>
              <w:rPr>
                <w:b w:val="0"/>
              </w:rPr>
              <w:t>9/30/17</w:t>
            </w:r>
          </w:p>
        </w:tc>
        <w:tc>
          <w:tcPr>
            <w:tcW w:w="3016" w:type="dxa"/>
            <w:tcBorders>
              <w:top w:val="single" w:sz="4" w:space="0" w:color="auto"/>
              <w:left w:val="single" w:sz="4" w:space="0" w:color="auto"/>
              <w:bottom w:val="single" w:sz="4" w:space="0" w:color="auto"/>
              <w:right w:val="single" w:sz="4" w:space="0" w:color="auto"/>
            </w:tcBorders>
            <w:hideMark/>
          </w:tcPr>
          <w:p w14:paraId="089B8D61" w14:textId="77777777" w:rsidR="003739FA" w:rsidRDefault="003739FA" w:rsidP="00865B19">
            <w:pPr>
              <w:pStyle w:val="SOPLevel1"/>
              <w:numPr>
                <w:ilvl w:val="0"/>
                <w:numId w:val="0"/>
              </w:numPr>
              <w:tabs>
                <w:tab w:val="left" w:pos="720"/>
              </w:tabs>
              <w:jc w:val="center"/>
              <w:rPr>
                <w:b w:val="0"/>
              </w:rPr>
            </w:pPr>
            <w:r>
              <w:rPr>
                <w:b w:val="0"/>
              </w:rPr>
              <w:t>Original issue</w:t>
            </w:r>
          </w:p>
        </w:tc>
      </w:tr>
      <w:tr w:rsidR="003739FA" w14:paraId="6FB02702" w14:textId="77777777" w:rsidTr="00180B2E">
        <w:tc>
          <w:tcPr>
            <w:tcW w:w="2985" w:type="dxa"/>
            <w:tcBorders>
              <w:top w:val="single" w:sz="4" w:space="0" w:color="auto"/>
              <w:left w:val="single" w:sz="4" w:space="0" w:color="auto"/>
              <w:bottom w:val="single" w:sz="4" w:space="0" w:color="auto"/>
              <w:right w:val="single" w:sz="4" w:space="0" w:color="auto"/>
            </w:tcBorders>
          </w:tcPr>
          <w:p w14:paraId="4C85CFC3" w14:textId="77777777" w:rsidR="003739FA" w:rsidRDefault="00FD04D9" w:rsidP="00865B19">
            <w:pPr>
              <w:pStyle w:val="SOPLevel1"/>
              <w:numPr>
                <w:ilvl w:val="0"/>
                <w:numId w:val="0"/>
              </w:numPr>
              <w:tabs>
                <w:tab w:val="left" w:pos="720"/>
              </w:tabs>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44804D8C" w14:textId="77777777" w:rsidR="003739FA" w:rsidRDefault="003739FA" w:rsidP="00865B19">
            <w:pPr>
              <w:pStyle w:val="SOPLevel1"/>
              <w:numPr>
                <w:ilvl w:val="0"/>
                <w:numId w:val="0"/>
              </w:numPr>
              <w:tabs>
                <w:tab w:val="left" w:pos="720"/>
              </w:tabs>
              <w:jc w:val="center"/>
              <w:rPr>
                <w:b w:val="0"/>
              </w:rPr>
            </w:pPr>
            <w:r>
              <w:rPr>
                <w:b w:val="0"/>
              </w:rPr>
              <w:t>11/26/19</w:t>
            </w:r>
          </w:p>
        </w:tc>
        <w:tc>
          <w:tcPr>
            <w:tcW w:w="3016" w:type="dxa"/>
            <w:tcBorders>
              <w:top w:val="single" w:sz="4" w:space="0" w:color="auto"/>
              <w:left w:val="single" w:sz="4" w:space="0" w:color="auto"/>
              <w:bottom w:val="single" w:sz="4" w:space="0" w:color="auto"/>
              <w:right w:val="single" w:sz="4" w:space="0" w:color="auto"/>
            </w:tcBorders>
          </w:tcPr>
          <w:p w14:paraId="092BC84F" w14:textId="77777777" w:rsidR="003739FA" w:rsidRDefault="001514E1" w:rsidP="00D2414F">
            <w:pPr>
              <w:pStyle w:val="SOPLevel1"/>
              <w:numPr>
                <w:ilvl w:val="0"/>
                <w:numId w:val="0"/>
              </w:numPr>
              <w:tabs>
                <w:tab w:val="left" w:pos="720"/>
              </w:tabs>
              <w:jc w:val="center"/>
              <w:rPr>
                <w:b w:val="0"/>
              </w:rPr>
            </w:pPr>
            <w:r>
              <w:rPr>
                <w:b w:val="0"/>
              </w:rPr>
              <w:t>Annual review,</w:t>
            </w:r>
            <w:r w:rsidR="00637797">
              <w:rPr>
                <w:b w:val="0"/>
              </w:rPr>
              <w:t xml:space="preserve"> </w:t>
            </w:r>
            <w:r w:rsidR="00D2414F">
              <w:rPr>
                <w:b w:val="0"/>
              </w:rPr>
              <w:t>no changes</w:t>
            </w:r>
            <w:r w:rsidR="00637797">
              <w:rPr>
                <w:b w:val="0"/>
              </w:rPr>
              <w:t xml:space="preserve"> </w:t>
            </w:r>
          </w:p>
        </w:tc>
      </w:tr>
      <w:tr w:rsidR="00180B2E" w14:paraId="5A267058" w14:textId="77777777" w:rsidTr="00180B2E">
        <w:tc>
          <w:tcPr>
            <w:tcW w:w="2985" w:type="dxa"/>
            <w:tcBorders>
              <w:top w:val="single" w:sz="4" w:space="0" w:color="auto"/>
              <w:left w:val="single" w:sz="4" w:space="0" w:color="auto"/>
              <w:bottom w:val="single" w:sz="4" w:space="0" w:color="auto"/>
              <w:right w:val="single" w:sz="4" w:space="0" w:color="auto"/>
            </w:tcBorders>
          </w:tcPr>
          <w:p w14:paraId="53D56D4A" w14:textId="77777777" w:rsidR="00180B2E" w:rsidRDefault="00902F54" w:rsidP="00180B2E">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3DCE8993" w14:textId="77777777" w:rsidR="00180B2E" w:rsidRDefault="00180B2E" w:rsidP="00180B2E">
            <w:pPr>
              <w:pStyle w:val="SOPLevel1"/>
              <w:numPr>
                <w:ilvl w:val="0"/>
                <w:numId w:val="0"/>
              </w:numPr>
              <w:jc w:val="center"/>
              <w:rPr>
                <w:b w:val="0"/>
              </w:rPr>
            </w:pPr>
            <w:r>
              <w:rPr>
                <w:b w:val="0"/>
              </w:rPr>
              <w:t>12/16/2020</w:t>
            </w:r>
          </w:p>
        </w:tc>
        <w:tc>
          <w:tcPr>
            <w:tcW w:w="3016" w:type="dxa"/>
            <w:tcBorders>
              <w:top w:val="single" w:sz="4" w:space="0" w:color="auto"/>
              <w:left w:val="single" w:sz="4" w:space="0" w:color="auto"/>
              <w:bottom w:val="single" w:sz="4" w:space="0" w:color="auto"/>
              <w:right w:val="single" w:sz="4" w:space="0" w:color="auto"/>
            </w:tcBorders>
          </w:tcPr>
          <w:p w14:paraId="37809023" w14:textId="77777777" w:rsidR="00180B2E" w:rsidRDefault="00180B2E" w:rsidP="00180B2E">
            <w:pPr>
              <w:pStyle w:val="SOPLevel1"/>
              <w:numPr>
                <w:ilvl w:val="0"/>
                <w:numId w:val="0"/>
              </w:numPr>
              <w:jc w:val="center"/>
              <w:rPr>
                <w:b w:val="0"/>
              </w:rPr>
            </w:pPr>
            <w:r>
              <w:rPr>
                <w:b w:val="0"/>
              </w:rPr>
              <w:t>Annual review, no changes</w:t>
            </w:r>
          </w:p>
        </w:tc>
      </w:tr>
      <w:tr w:rsidR="003C2ECC" w14:paraId="29FFE1CD" w14:textId="77777777" w:rsidTr="00180B2E">
        <w:tc>
          <w:tcPr>
            <w:tcW w:w="2985" w:type="dxa"/>
            <w:tcBorders>
              <w:top w:val="single" w:sz="4" w:space="0" w:color="auto"/>
              <w:left w:val="single" w:sz="4" w:space="0" w:color="auto"/>
              <w:bottom w:val="single" w:sz="4" w:space="0" w:color="auto"/>
              <w:right w:val="single" w:sz="4" w:space="0" w:color="auto"/>
            </w:tcBorders>
          </w:tcPr>
          <w:p w14:paraId="39609E82" w14:textId="1FC14B84" w:rsidR="003C2ECC" w:rsidRDefault="003C2ECC" w:rsidP="00180B2E">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4AADB73E" w14:textId="28977DE9" w:rsidR="003C2ECC" w:rsidRDefault="003C2ECC" w:rsidP="00180B2E">
            <w:pPr>
              <w:pStyle w:val="SOPLevel1"/>
              <w:numPr>
                <w:ilvl w:val="0"/>
                <w:numId w:val="0"/>
              </w:numPr>
              <w:jc w:val="center"/>
              <w:rPr>
                <w:b w:val="0"/>
              </w:rPr>
            </w:pPr>
            <w:r>
              <w:rPr>
                <w:b w:val="0"/>
              </w:rPr>
              <w:t>1/12/2022</w:t>
            </w:r>
          </w:p>
        </w:tc>
        <w:tc>
          <w:tcPr>
            <w:tcW w:w="3016" w:type="dxa"/>
            <w:tcBorders>
              <w:top w:val="single" w:sz="4" w:space="0" w:color="auto"/>
              <w:left w:val="single" w:sz="4" w:space="0" w:color="auto"/>
              <w:bottom w:val="single" w:sz="4" w:space="0" w:color="auto"/>
              <w:right w:val="single" w:sz="4" w:space="0" w:color="auto"/>
            </w:tcBorders>
          </w:tcPr>
          <w:p w14:paraId="055BB372" w14:textId="6FD6E318" w:rsidR="003C2ECC" w:rsidRDefault="003C2ECC" w:rsidP="00180B2E">
            <w:pPr>
              <w:pStyle w:val="SOPLevel1"/>
              <w:numPr>
                <w:ilvl w:val="0"/>
                <w:numId w:val="0"/>
              </w:numPr>
              <w:jc w:val="center"/>
              <w:rPr>
                <w:b w:val="0"/>
              </w:rPr>
            </w:pPr>
            <w:r>
              <w:rPr>
                <w:b w:val="0"/>
              </w:rPr>
              <w:t>Annual review, no changes</w:t>
            </w:r>
          </w:p>
        </w:tc>
      </w:tr>
      <w:tr w:rsidR="0061655C" w14:paraId="3AD71030" w14:textId="77777777" w:rsidTr="00180B2E">
        <w:tc>
          <w:tcPr>
            <w:tcW w:w="2985" w:type="dxa"/>
            <w:tcBorders>
              <w:top w:val="single" w:sz="4" w:space="0" w:color="auto"/>
              <w:left w:val="single" w:sz="4" w:space="0" w:color="auto"/>
              <w:bottom w:val="single" w:sz="4" w:space="0" w:color="auto"/>
              <w:right w:val="single" w:sz="4" w:space="0" w:color="auto"/>
            </w:tcBorders>
          </w:tcPr>
          <w:p w14:paraId="41A014E9" w14:textId="0085E390" w:rsidR="0061655C" w:rsidRDefault="0061655C" w:rsidP="0061655C">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354F0B42" w14:textId="3A791C04" w:rsidR="0061655C" w:rsidRDefault="0061655C" w:rsidP="0061655C">
            <w:pPr>
              <w:pStyle w:val="SOPLevel1"/>
              <w:numPr>
                <w:ilvl w:val="0"/>
                <w:numId w:val="0"/>
              </w:numPr>
              <w:jc w:val="center"/>
              <w:rPr>
                <w:b w:val="0"/>
              </w:rPr>
            </w:pPr>
            <w:r>
              <w:rPr>
                <w:b w:val="0"/>
              </w:rPr>
              <w:t>11/14/</w:t>
            </w:r>
            <w:r w:rsidR="000F4BEB">
              <w:rPr>
                <w:b w:val="0"/>
              </w:rPr>
              <w:t>2023</w:t>
            </w:r>
          </w:p>
        </w:tc>
        <w:tc>
          <w:tcPr>
            <w:tcW w:w="3016" w:type="dxa"/>
            <w:tcBorders>
              <w:top w:val="single" w:sz="4" w:space="0" w:color="auto"/>
              <w:left w:val="single" w:sz="4" w:space="0" w:color="auto"/>
              <w:bottom w:val="single" w:sz="4" w:space="0" w:color="auto"/>
              <w:right w:val="single" w:sz="4" w:space="0" w:color="auto"/>
            </w:tcBorders>
          </w:tcPr>
          <w:p w14:paraId="346FA9EF" w14:textId="2BB11F20" w:rsidR="0061655C" w:rsidRDefault="0061655C" w:rsidP="0061655C">
            <w:pPr>
              <w:pStyle w:val="SOPLevel1"/>
              <w:numPr>
                <w:ilvl w:val="0"/>
                <w:numId w:val="0"/>
              </w:numPr>
              <w:jc w:val="center"/>
              <w:rPr>
                <w:b w:val="0"/>
              </w:rPr>
            </w:pPr>
            <w:r>
              <w:rPr>
                <w:b w:val="0"/>
              </w:rPr>
              <w:t>Annual review, no changes</w:t>
            </w:r>
          </w:p>
        </w:tc>
      </w:tr>
      <w:tr w:rsidR="000F4BEB" w14:paraId="206EE1B6" w14:textId="77777777" w:rsidTr="00180B2E">
        <w:tc>
          <w:tcPr>
            <w:tcW w:w="2985" w:type="dxa"/>
            <w:tcBorders>
              <w:top w:val="single" w:sz="4" w:space="0" w:color="auto"/>
              <w:left w:val="single" w:sz="4" w:space="0" w:color="auto"/>
              <w:bottom w:val="single" w:sz="4" w:space="0" w:color="auto"/>
              <w:right w:val="single" w:sz="4" w:space="0" w:color="auto"/>
            </w:tcBorders>
          </w:tcPr>
          <w:p w14:paraId="2AEE477B" w14:textId="6C3B41B1" w:rsidR="000F4BEB" w:rsidRDefault="000F4BEB" w:rsidP="0061655C">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123911BA" w14:textId="0C41632C" w:rsidR="000F4BEB" w:rsidRDefault="000F4BEB" w:rsidP="0061655C">
            <w:pPr>
              <w:pStyle w:val="SOPLevel1"/>
              <w:numPr>
                <w:ilvl w:val="0"/>
                <w:numId w:val="0"/>
              </w:numPr>
              <w:jc w:val="center"/>
              <w:rPr>
                <w:b w:val="0"/>
              </w:rPr>
            </w:pPr>
            <w:r>
              <w:rPr>
                <w:b w:val="0"/>
              </w:rPr>
              <w:t>10/29/2024</w:t>
            </w:r>
          </w:p>
        </w:tc>
        <w:tc>
          <w:tcPr>
            <w:tcW w:w="3016" w:type="dxa"/>
            <w:tcBorders>
              <w:top w:val="single" w:sz="4" w:space="0" w:color="auto"/>
              <w:left w:val="single" w:sz="4" w:space="0" w:color="auto"/>
              <w:bottom w:val="single" w:sz="4" w:space="0" w:color="auto"/>
              <w:right w:val="single" w:sz="4" w:space="0" w:color="auto"/>
            </w:tcBorders>
          </w:tcPr>
          <w:p w14:paraId="3269D075" w14:textId="396C226A" w:rsidR="000F4BEB" w:rsidRDefault="000F4BEB" w:rsidP="0061655C">
            <w:pPr>
              <w:pStyle w:val="SOPLevel1"/>
              <w:numPr>
                <w:ilvl w:val="0"/>
                <w:numId w:val="0"/>
              </w:numPr>
              <w:jc w:val="center"/>
              <w:rPr>
                <w:b w:val="0"/>
              </w:rPr>
            </w:pPr>
            <w:r>
              <w:rPr>
                <w:b w:val="0"/>
              </w:rPr>
              <w:t>Annual review, no changes</w:t>
            </w:r>
          </w:p>
        </w:tc>
      </w:tr>
    </w:tbl>
    <w:p w14:paraId="0FB0D3D0" w14:textId="77777777" w:rsidR="001E78F8" w:rsidRPr="001143CE" w:rsidRDefault="001E78F8" w:rsidP="008576AA">
      <w:pPr>
        <w:pStyle w:val="SOPLevel1"/>
      </w:pPr>
      <w:r w:rsidRPr="001143CE">
        <w:t>POLICY</w:t>
      </w:r>
    </w:p>
    <w:p w14:paraId="0DBA7F00" w14:textId="77777777" w:rsidR="001E78F8" w:rsidRPr="001143CE" w:rsidRDefault="001E78F8" w:rsidP="0075030B">
      <w:pPr>
        <w:pStyle w:val="SOPLevel2"/>
        <w:rPr>
          <w:b/>
        </w:rPr>
      </w:pPr>
      <w:r w:rsidRPr="001143CE">
        <w:t>If research is granted “Modifications Required to Secure Approval” and expires before responsive materials are reviewed and approved, these procedures are to be followed.</w:t>
      </w:r>
    </w:p>
    <w:p w14:paraId="46A6CB76" w14:textId="77777777" w:rsidR="001E78F8" w:rsidRPr="001143CE" w:rsidRDefault="001E78F8" w:rsidP="00202756">
      <w:pPr>
        <w:pStyle w:val="SOPLevel1"/>
      </w:pPr>
      <w:r w:rsidRPr="001143CE">
        <w:t>RESPONSIBILITIES</w:t>
      </w:r>
    </w:p>
    <w:p w14:paraId="07D84B02" w14:textId="77777777" w:rsidR="001E78F8" w:rsidRPr="00304558" w:rsidRDefault="001E78F8" w:rsidP="00202756">
      <w:pPr>
        <w:pStyle w:val="SOPLevel2"/>
      </w:pPr>
      <w:r w:rsidRPr="00304558">
        <w:t xml:space="preserve">A </w:t>
      </w:r>
      <w:r w:rsidRPr="00304558">
        <w:rPr>
          <w:u w:val="double"/>
        </w:rPr>
        <w:t>Designated Reviewer</w:t>
      </w:r>
      <w:r w:rsidRPr="00304558">
        <w:t xml:space="preserve"> is responsible to follow these procedures.</w:t>
      </w:r>
    </w:p>
    <w:p w14:paraId="0FC236BD" w14:textId="77777777" w:rsidR="001E78F8" w:rsidRPr="00304558" w:rsidRDefault="001E78F8" w:rsidP="008576AA">
      <w:pPr>
        <w:pStyle w:val="SOPLevel1"/>
      </w:pPr>
      <w:r w:rsidRPr="00304558">
        <w:t>PROCEDURE</w:t>
      </w:r>
    </w:p>
    <w:p w14:paraId="28BAAE2E" w14:textId="77777777" w:rsidR="001E78F8" w:rsidRPr="00304558" w:rsidRDefault="001E78F8" w:rsidP="00244563">
      <w:pPr>
        <w:pStyle w:val="SOPLevel2"/>
      </w:pPr>
      <w:r w:rsidRPr="00304558">
        <w:t>Determine from the investigator which subjects need to continue in the expired research, what procedures are being requested to continue, and why.</w:t>
      </w:r>
    </w:p>
    <w:p w14:paraId="1CB8D30F" w14:textId="77777777" w:rsidR="001E78F8" w:rsidRPr="00304558" w:rsidRDefault="001E78F8" w:rsidP="00BA6AAD">
      <w:pPr>
        <w:pStyle w:val="SOPLevel2"/>
      </w:pPr>
      <w:r>
        <w:t>Do not allow</w:t>
      </w:r>
      <w:r w:rsidRPr="00304558">
        <w:t xml:space="preserve"> new subjects </w:t>
      </w:r>
      <w:r>
        <w:t xml:space="preserve">to </w:t>
      </w:r>
      <w:r w:rsidRPr="00304558">
        <w:t>be enrolled</w:t>
      </w:r>
      <w:r>
        <w:t xml:space="preserve"> under any circumstances</w:t>
      </w:r>
      <w:r w:rsidRPr="00304558">
        <w:t>.</w:t>
      </w:r>
    </w:p>
    <w:p w14:paraId="7985B0B3" w14:textId="77777777" w:rsidR="001E78F8" w:rsidRPr="00304558" w:rsidRDefault="001E78F8" w:rsidP="00BA6AAD">
      <w:pPr>
        <w:pStyle w:val="SOPLevel2"/>
      </w:pPr>
      <w:r w:rsidRPr="00304558">
        <w:t>Determine which subjects can continue in the research based on these principles:</w:t>
      </w:r>
    </w:p>
    <w:p w14:paraId="18D8C375" w14:textId="77777777" w:rsidR="001E78F8" w:rsidRPr="00304558" w:rsidRDefault="001E78F8" w:rsidP="00520AC0">
      <w:pPr>
        <w:pStyle w:val="SOPLevel3"/>
      </w:pPr>
      <w:r w:rsidRPr="00304558">
        <w:t>In general, research procedures should be safely discontinued.</w:t>
      </w:r>
    </w:p>
    <w:p w14:paraId="4ECF1FDE" w14:textId="77777777" w:rsidR="001E78F8" w:rsidRPr="00304558" w:rsidRDefault="001E78F8" w:rsidP="00520AC0">
      <w:pPr>
        <w:pStyle w:val="SOPLevel3"/>
      </w:pPr>
      <w:r w:rsidRPr="00304558">
        <w:t>In general, the only research procedures that should continue are those that are not available outside of the research context. If the required procedures can be provided as standard of care, these should be provided as such.</w:t>
      </w:r>
    </w:p>
    <w:p w14:paraId="7B06629C" w14:textId="77777777" w:rsidR="001E78F8" w:rsidRDefault="001E78F8" w:rsidP="00520AC0">
      <w:pPr>
        <w:pStyle w:val="SOPLevel3"/>
      </w:pPr>
      <w:r w:rsidRPr="00304558">
        <w:t>In general, research procedures conducted to collect data with no direct benefit to the subject should not continue.</w:t>
      </w:r>
    </w:p>
    <w:p w14:paraId="3F01E824" w14:textId="77777777" w:rsidR="001E78F8" w:rsidRPr="00304558" w:rsidRDefault="001E78F8" w:rsidP="00520AC0">
      <w:pPr>
        <w:pStyle w:val="SOPLevel3"/>
      </w:pPr>
      <w:r w:rsidRPr="00304558">
        <w:t>In some cases, an ethical issue may be raised where the above general principles may not be followed.</w:t>
      </w:r>
    </w:p>
    <w:p w14:paraId="47339574" w14:textId="77777777" w:rsidR="001E78F8" w:rsidRPr="00304558" w:rsidRDefault="001E78F8" w:rsidP="00A046F0">
      <w:pPr>
        <w:pStyle w:val="SOPLevel2"/>
      </w:pPr>
      <w:r w:rsidRPr="00304558">
        <w:t>Communicate with the investigator using “</w:t>
      </w:r>
      <w:r>
        <w:t>TEMPLATE LETTER: Continuation of Subjects in Expired Research (HRP-532)</w:t>
      </w:r>
      <w:r w:rsidRPr="00304558">
        <w:t>.”</w:t>
      </w:r>
    </w:p>
    <w:p w14:paraId="20F95DF5" w14:textId="77777777" w:rsidR="001E78F8" w:rsidRPr="00304558" w:rsidRDefault="001E78F8" w:rsidP="008576AA">
      <w:pPr>
        <w:pStyle w:val="SOPLevel1"/>
      </w:pPr>
      <w:r w:rsidRPr="00304558">
        <w:t>MATERIALS</w:t>
      </w:r>
    </w:p>
    <w:p w14:paraId="1996392D" w14:textId="77777777" w:rsidR="001E78F8" w:rsidRPr="00304558" w:rsidRDefault="001E78F8" w:rsidP="00782AF9">
      <w:pPr>
        <w:pStyle w:val="SOPLevel2"/>
      </w:pPr>
      <w:r>
        <w:t>TEMPLATE LETTER: Continuation of Subjects in Expired Research (HRP-532)</w:t>
      </w:r>
    </w:p>
    <w:p w14:paraId="331C3D87" w14:textId="77777777" w:rsidR="001E78F8" w:rsidRPr="00304558" w:rsidRDefault="001E78F8" w:rsidP="008576AA">
      <w:pPr>
        <w:pStyle w:val="SOPLevel1"/>
      </w:pPr>
      <w:r w:rsidRPr="00304558">
        <w:t>REFERENCES</w:t>
      </w:r>
    </w:p>
    <w:p w14:paraId="5D713723" w14:textId="77777777" w:rsidR="001E78F8" w:rsidRPr="00304558" w:rsidRDefault="001E78F8" w:rsidP="00520AC0">
      <w:pPr>
        <w:pStyle w:val="SOPLevel2"/>
      </w:pPr>
      <w:r w:rsidRPr="00304558">
        <w:t>None</w:t>
      </w:r>
    </w:p>
    <w:p w14:paraId="5B5D2469" w14:textId="77777777" w:rsidR="005B0BF6" w:rsidRDefault="005B0BF6"/>
    <w:sectPr w:rsidR="005B0BF6" w:rsidSect="001D7B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1E4F" w14:textId="77777777" w:rsidR="008B48B1" w:rsidRDefault="008B48B1">
      <w:pPr>
        <w:spacing w:after="0" w:line="240" w:lineRule="auto"/>
      </w:pPr>
      <w:r>
        <w:separator/>
      </w:r>
    </w:p>
  </w:endnote>
  <w:endnote w:type="continuationSeparator" w:id="0">
    <w:p w14:paraId="73E21AD4" w14:textId="77777777" w:rsidR="008B48B1" w:rsidRDefault="008B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8B9" w14:textId="77777777" w:rsidR="00FD04D9" w:rsidRDefault="00FD04D9">
    <w:pPr>
      <w:pStyle w:val="Footer"/>
    </w:pPr>
    <w:r w:rsidRPr="003739FA">
      <w:t>HRP</w:t>
    </w:r>
    <w:r>
      <w:t>-063-R00</w:t>
    </w:r>
  </w:p>
  <w:p w14:paraId="31C21233" w14:textId="77777777" w:rsidR="000F4BEB" w:rsidRPr="00D62468" w:rsidRDefault="000F4BEB" w:rsidP="00D62468">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50F5" w14:textId="77777777" w:rsidR="008B48B1" w:rsidRDefault="008B48B1">
      <w:pPr>
        <w:spacing w:after="0" w:line="240" w:lineRule="auto"/>
      </w:pPr>
      <w:r>
        <w:separator/>
      </w:r>
    </w:p>
  </w:footnote>
  <w:footnote w:type="continuationSeparator" w:id="0">
    <w:p w14:paraId="77D77CBD" w14:textId="77777777" w:rsidR="008B48B1" w:rsidRDefault="008B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CB37" w14:textId="303EFE6A" w:rsidR="0061655C" w:rsidRDefault="00233A9D">
    <w:r>
      <w:rPr>
        <w:noProof/>
      </w:rPr>
      <w:drawing>
        <wp:anchor distT="0" distB="0" distL="114300" distR="114300" simplePos="0" relativeHeight="251659264" behindDoc="1" locked="0" layoutInCell="1" allowOverlap="1" wp14:anchorId="23C17E7A" wp14:editId="024E1080">
          <wp:simplePos x="0" y="0"/>
          <wp:positionH relativeFrom="column">
            <wp:posOffset>1289050</wp:posOffset>
          </wp:positionH>
          <wp:positionV relativeFrom="paragraph">
            <wp:posOffset>-279400</wp:posOffset>
          </wp:positionV>
          <wp:extent cx="3304540" cy="804545"/>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4529" w:type="pct"/>
      <w:tblInd w:w="-6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6"/>
      <w:gridCol w:w="2898"/>
      <w:gridCol w:w="854"/>
      <w:gridCol w:w="976"/>
      <w:gridCol w:w="754"/>
    </w:tblGrid>
    <w:tr w:rsidR="00233A9D" w:rsidRPr="00233A9D" w14:paraId="28EEB4B6" w14:textId="2358E2C5" w:rsidTr="00233A9D">
      <w:trPr>
        <w:gridAfter w:val="4"/>
        <w:wAfter w:w="5482" w:type="dxa"/>
        <w:cantSplit/>
        <w:trHeight w:hRule="exact" w:val="525"/>
      </w:trPr>
      <w:tc>
        <w:tcPr>
          <w:tcW w:w="2996" w:type="dxa"/>
          <w:vMerge w:val="restart"/>
          <w:tcBorders>
            <w:top w:val="nil"/>
            <w:left w:val="nil"/>
            <w:bottom w:val="nil"/>
            <w:right w:val="nil"/>
          </w:tcBorders>
          <w:vAlign w:val="center"/>
        </w:tcPr>
        <w:p w14:paraId="30A391AF" w14:textId="77777777" w:rsidR="00233A9D" w:rsidRPr="00233A9D" w:rsidRDefault="00233A9D" w:rsidP="00D2414F">
          <w:pPr>
            <w:spacing w:after="0" w:line="240" w:lineRule="auto"/>
            <w:rPr>
              <w:color w:val="FFFFFF"/>
              <w:sz w:val="13"/>
              <w:szCs w:val="13"/>
            </w:rPr>
          </w:pPr>
        </w:p>
        <w:p w14:paraId="0E18C2BD" w14:textId="77777777" w:rsidR="00233A9D" w:rsidRPr="00233A9D" w:rsidRDefault="00233A9D" w:rsidP="00D2414F">
          <w:pPr>
            <w:spacing w:after="0" w:line="240" w:lineRule="auto"/>
            <w:rPr>
              <w:color w:val="FFFFFF"/>
              <w:sz w:val="13"/>
              <w:szCs w:val="13"/>
            </w:rPr>
          </w:pPr>
        </w:p>
        <w:p w14:paraId="66F3902B" w14:textId="77777777" w:rsidR="00233A9D" w:rsidRPr="00233A9D" w:rsidRDefault="00233A9D" w:rsidP="00D2414F">
          <w:pPr>
            <w:spacing w:after="0" w:line="240" w:lineRule="auto"/>
            <w:rPr>
              <w:color w:val="FFFFFF"/>
              <w:sz w:val="13"/>
              <w:szCs w:val="13"/>
            </w:rPr>
          </w:pPr>
        </w:p>
      </w:tc>
    </w:tr>
    <w:tr w:rsidR="0061655C" w:rsidRPr="008B2C97" w14:paraId="5B661B1C" w14:textId="77777777" w:rsidTr="00233A9D">
      <w:trPr>
        <w:cantSplit/>
        <w:trHeight w:val="379"/>
      </w:trPr>
      <w:tc>
        <w:tcPr>
          <w:tcW w:w="2996" w:type="dxa"/>
          <w:vMerge/>
          <w:tcBorders>
            <w:left w:val="nil"/>
            <w:bottom w:val="nil"/>
            <w:right w:val="single" w:sz="8" w:space="0" w:color="auto"/>
          </w:tcBorders>
        </w:tcPr>
        <w:p w14:paraId="645A5D32" w14:textId="77777777" w:rsidR="0061655C" w:rsidRDefault="0061655C" w:rsidP="003A130A"/>
      </w:tc>
      <w:tc>
        <w:tcPr>
          <w:tcW w:w="5482" w:type="dxa"/>
          <w:gridSpan w:val="4"/>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17CCA34" w14:textId="1F9191B0" w:rsidR="0061655C" w:rsidRPr="0061655C" w:rsidRDefault="0061655C" w:rsidP="003A130A">
          <w:pPr>
            <w:pStyle w:val="SOPTableHeader"/>
            <w:rPr>
              <w:b/>
              <w:sz w:val="18"/>
              <w:szCs w:val="18"/>
            </w:rPr>
          </w:pPr>
          <w:r>
            <w:rPr>
              <w:b/>
              <w:sz w:val="18"/>
              <w:szCs w:val="18"/>
            </w:rPr>
            <w:t xml:space="preserve">SOP: </w:t>
          </w:r>
          <w:r w:rsidRPr="0061655C">
            <w:rPr>
              <w:sz w:val="18"/>
              <w:szCs w:val="18"/>
            </w:rPr>
            <w:t>Expiration of IRB Approval</w:t>
          </w:r>
        </w:p>
      </w:tc>
    </w:tr>
    <w:tr w:rsidR="0061655C" w:rsidRPr="008B2C97" w14:paraId="6B3E9CB7" w14:textId="77777777" w:rsidTr="00233A9D">
      <w:trPr>
        <w:cantSplit/>
        <w:trHeight w:val="379"/>
      </w:trPr>
      <w:tc>
        <w:tcPr>
          <w:tcW w:w="2996" w:type="dxa"/>
          <w:vMerge/>
          <w:tcBorders>
            <w:left w:val="nil"/>
            <w:bottom w:val="nil"/>
            <w:right w:val="single" w:sz="8" w:space="0" w:color="auto"/>
          </w:tcBorders>
        </w:tcPr>
        <w:p w14:paraId="689783F4" w14:textId="77777777" w:rsidR="0061655C" w:rsidRDefault="0061655C" w:rsidP="003A130A"/>
      </w:tc>
      <w:tc>
        <w:tcPr>
          <w:tcW w:w="28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AE1FAE" w14:textId="765942B2" w:rsidR="0061655C" w:rsidRPr="008B2C97" w:rsidRDefault="0061655C" w:rsidP="003A130A">
          <w:pPr>
            <w:pStyle w:val="SOPTableHeader"/>
            <w:rPr>
              <w:sz w:val="18"/>
              <w:szCs w:val="18"/>
            </w:rPr>
          </w:pPr>
          <w:r w:rsidRPr="008B2C97">
            <w:rPr>
              <w:sz w:val="18"/>
              <w:szCs w:val="18"/>
            </w:rPr>
            <w:t>NUMBER</w:t>
          </w:r>
        </w:p>
      </w:tc>
      <w:tc>
        <w:tcPr>
          <w:tcW w:w="8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E02093E" w14:textId="77777777" w:rsidR="0061655C" w:rsidRPr="008B2C97" w:rsidRDefault="0061655C" w:rsidP="003A130A">
          <w:pPr>
            <w:pStyle w:val="SOPTableHeader"/>
            <w:rPr>
              <w:sz w:val="18"/>
              <w:szCs w:val="18"/>
            </w:rPr>
          </w:pPr>
          <w:r w:rsidRPr="008B2C97">
            <w:rPr>
              <w:sz w:val="18"/>
              <w:szCs w:val="18"/>
            </w:rPr>
            <w:t>DATE</w:t>
          </w:r>
        </w:p>
      </w:tc>
      <w:tc>
        <w:tcPr>
          <w:tcW w:w="976" w:type="dxa"/>
          <w:tcBorders>
            <w:top w:val="single" w:sz="8" w:space="0" w:color="auto"/>
            <w:left w:val="single" w:sz="8" w:space="0" w:color="auto"/>
            <w:bottom w:val="single" w:sz="8" w:space="0" w:color="auto"/>
            <w:right w:val="single" w:sz="8" w:space="0" w:color="auto"/>
          </w:tcBorders>
          <w:vAlign w:val="center"/>
        </w:tcPr>
        <w:p w14:paraId="795CBC8C" w14:textId="18889FDF" w:rsidR="0061655C" w:rsidRPr="008B2C97" w:rsidRDefault="0061655C" w:rsidP="003A130A">
          <w:pPr>
            <w:pStyle w:val="SOPTableHeader"/>
            <w:rPr>
              <w:sz w:val="18"/>
              <w:szCs w:val="18"/>
            </w:rPr>
          </w:pPr>
          <w:r>
            <w:rPr>
              <w:sz w:val="18"/>
              <w:szCs w:val="18"/>
            </w:rPr>
            <w:t>AUTHOR</w:t>
          </w:r>
        </w:p>
      </w:tc>
      <w:tc>
        <w:tcPr>
          <w:tcW w:w="7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F293762" w14:textId="3DDA4383" w:rsidR="0061655C" w:rsidRPr="008B2C97" w:rsidRDefault="0061655C" w:rsidP="003A130A">
          <w:pPr>
            <w:pStyle w:val="SOPTableHeader"/>
            <w:rPr>
              <w:sz w:val="18"/>
              <w:szCs w:val="18"/>
            </w:rPr>
          </w:pPr>
          <w:r w:rsidRPr="008B2C97">
            <w:rPr>
              <w:sz w:val="18"/>
              <w:szCs w:val="18"/>
            </w:rPr>
            <w:t>PAGE</w:t>
          </w:r>
        </w:p>
      </w:tc>
    </w:tr>
    <w:tr w:rsidR="0061655C" w:rsidRPr="008B2C97" w14:paraId="70A762E0" w14:textId="77777777" w:rsidTr="00233A9D">
      <w:trPr>
        <w:cantSplit/>
        <w:trHeight w:val="379"/>
      </w:trPr>
      <w:tc>
        <w:tcPr>
          <w:tcW w:w="2996" w:type="dxa"/>
          <w:vMerge/>
          <w:tcBorders>
            <w:left w:val="nil"/>
            <w:bottom w:val="nil"/>
            <w:right w:val="single" w:sz="8" w:space="0" w:color="auto"/>
          </w:tcBorders>
        </w:tcPr>
        <w:p w14:paraId="5C0F0AE5" w14:textId="77777777" w:rsidR="0061655C" w:rsidRDefault="0061655C" w:rsidP="003A130A"/>
      </w:tc>
      <w:tc>
        <w:tcPr>
          <w:tcW w:w="28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821DB1E" w14:textId="77777777" w:rsidR="0061655C" w:rsidRPr="0057043C" w:rsidRDefault="0061655C" w:rsidP="003A130A">
          <w:pPr>
            <w:pStyle w:val="SOPTableEntry"/>
          </w:pPr>
          <w:r w:rsidRPr="003739FA">
            <w:t>HRP</w:t>
          </w:r>
          <w:r>
            <w:t>-063-R00</w:t>
          </w:r>
        </w:p>
      </w:tc>
      <w:tc>
        <w:tcPr>
          <w:tcW w:w="8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5DFE544" w14:textId="77777777" w:rsidR="0061655C" w:rsidRPr="0057043C" w:rsidRDefault="0061655C" w:rsidP="003A130A">
          <w:pPr>
            <w:pStyle w:val="SOPTableEntry"/>
          </w:pPr>
          <w:r>
            <w:t>9/30/17</w:t>
          </w:r>
        </w:p>
      </w:tc>
      <w:tc>
        <w:tcPr>
          <w:tcW w:w="976" w:type="dxa"/>
          <w:tcBorders>
            <w:top w:val="single" w:sz="8" w:space="0" w:color="auto"/>
            <w:left w:val="single" w:sz="8" w:space="0" w:color="auto"/>
            <w:bottom w:val="single" w:sz="8" w:space="0" w:color="auto"/>
            <w:right w:val="single" w:sz="8" w:space="0" w:color="auto"/>
          </w:tcBorders>
          <w:vAlign w:val="center"/>
        </w:tcPr>
        <w:p w14:paraId="04D23352" w14:textId="77777777" w:rsidR="0061655C" w:rsidRPr="0057043C" w:rsidRDefault="0061655C" w:rsidP="003A130A">
          <w:pPr>
            <w:pStyle w:val="SOPTableEntry"/>
          </w:pPr>
        </w:p>
      </w:tc>
      <w:tc>
        <w:tcPr>
          <w:tcW w:w="7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96B339A" w14:textId="7D8044B7" w:rsidR="0061655C" w:rsidRPr="0057043C" w:rsidRDefault="0061655C" w:rsidP="003A130A">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3ACB1E40" w14:textId="0A46CF9D" w:rsidR="0061655C" w:rsidRPr="007A2BC4" w:rsidRDefault="0061655C" w:rsidP="0003793A">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7535138">
    <w:abstractNumId w:val="0"/>
  </w:num>
  <w:num w:numId="2" w16cid:durableId="1243294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F8"/>
    <w:rsid w:val="0003793A"/>
    <w:rsid w:val="000F4BEB"/>
    <w:rsid w:val="001141D0"/>
    <w:rsid w:val="00115B62"/>
    <w:rsid w:val="00120D48"/>
    <w:rsid w:val="001514E1"/>
    <w:rsid w:val="00180B2E"/>
    <w:rsid w:val="001E78F8"/>
    <w:rsid w:val="00233A9D"/>
    <w:rsid w:val="0027726F"/>
    <w:rsid w:val="00336D2C"/>
    <w:rsid w:val="00355E19"/>
    <w:rsid w:val="003739FA"/>
    <w:rsid w:val="003C2ECC"/>
    <w:rsid w:val="005B0BF6"/>
    <w:rsid w:val="005E24F8"/>
    <w:rsid w:val="005F20DC"/>
    <w:rsid w:val="0061655C"/>
    <w:rsid w:val="00637797"/>
    <w:rsid w:val="00692A7E"/>
    <w:rsid w:val="008B48B1"/>
    <w:rsid w:val="00902F54"/>
    <w:rsid w:val="00913D97"/>
    <w:rsid w:val="00915B1F"/>
    <w:rsid w:val="009329B3"/>
    <w:rsid w:val="009646B1"/>
    <w:rsid w:val="009756B4"/>
    <w:rsid w:val="009B6700"/>
    <w:rsid w:val="00AD712E"/>
    <w:rsid w:val="00B74E2F"/>
    <w:rsid w:val="00BF795E"/>
    <w:rsid w:val="00D121F1"/>
    <w:rsid w:val="00D2414F"/>
    <w:rsid w:val="00D655FF"/>
    <w:rsid w:val="00ED4A68"/>
    <w:rsid w:val="00ED57EA"/>
    <w:rsid w:val="00EF0611"/>
    <w:rsid w:val="00FD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6F80"/>
  <w15:docId w15:val="{9C4D1CBE-AA8F-4AE5-B3C2-BB13A90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1E78F8"/>
    <w:pPr>
      <w:spacing w:after="0" w:line="240" w:lineRule="auto"/>
      <w:jc w:val="center"/>
    </w:pPr>
    <w:rPr>
      <w:rFonts w:ascii="Arial" w:eastAsia="Times New Roman" w:hAnsi="Arial" w:cs="Tahoma"/>
      <w:sz w:val="18"/>
      <w:szCs w:val="20"/>
    </w:rPr>
  </w:style>
  <w:style w:type="character" w:customStyle="1" w:styleId="SOPLeader">
    <w:name w:val="SOP Leader"/>
    <w:rsid w:val="001E78F8"/>
    <w:rPr>
      <w:rFonts w:ascii="Calibri" w:hAnsi="Calibri"/>
      <w:b/>
      <w:sz w:val="24"/>
    </w:rPr>
  </w:style>
  <w:style w:type="paragraph" w:customStyle="1" w:styleId="SOPName">
    <w:name w:val="SOP Name"/>
    <w:basedOn w:val="Normal"/>
    <w:rsid w:val="001E78F8"/>
    <w:pPr>
      <w:spacing w:after="0" w:line="240" w:lineRule="auto"/>
    </w:pPr>
    <w:rPr>
      <w:rFonts w:ascii="Arial" w:eastAsia="Times New Roman" w:hAnsi="Arial" w:cs="Tahoma"/>
      <w:sz w:val="24"/>
      <w:szCs w:val="20"/>
    </w:rPr>
  </w:style>
  <w:style w:type="character" w:styleId="Hyperlink">
    <w:name w:val="Hyperlink"/>
    <w:semiHidden/>
    <w:rsid w:val="001E78F8"/>
    <w:rPr>
      <w:color w:val="0000FF"/>
      <w:u w:val="single"/>
    </w:rPr>
  </w:style>
  <w:style w:type="paragraph" w:customStyle="1" w:styleId="SOPTableHeader">
    <w:name w:val="SOP Table Header"/>
    <w:basedOn w:val="Normal"/>
    <w:rsid w:val="001E78F8"/>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1E78F8"/>
    <w:rPr>
      <w:sz w:val="18"/>
    </w:rPr>
  </w:style>
  <w:style w:type="paragraph" w:customStyle="1" w:styleId="SOPLevel1">
    <w:name w:val="SOP Level 1"/>
    <w:basedOn w:val="Normal"/>
    <w:rsid w:val="001E78F8"/>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1E78F8"/>
    <w:pPr>
      <w:numPr>
        <w:ilvl w:val="1"/>
      </w:numPr>
      <w:spacing w:before="20" w:after="20"/>
      <w:ind w:left="936" w:hanging="576"/>
    </w:pPr>
    <w:rPr>
      <w:b w:val="0"/>
    </w:rPr>
  </w:style>
  <w:style w:type="paragraph" w:customStyle="1" w:styleId="SOPLevel3">
    <w:name w:val="SOP Level 3"/>
    <w:basedOn w:val="SOPLevel2"/>
    <w:rsid w:val="001E78F8"/>
    <w:pPr>
      <w:numPr>
        <w:ilvl w:val="2"/>
      </w:numPr>
      <w:ind w:left="1728" w:hanging="792"/>
    </w:pPr>
  </w:style>
  <w:style w:type="paragraph" w:customStyle="1" w:styleId="SOPLevel4">
    <w:name w:val="SOP Level 4"/>
    <w:basedOn w:val="SOPLevel3"/>
    <w:rsid w:val="001E78F8"/>
    <w:pPr>
      <w:numPr>
        <w:ilvl w:val="3"/>
      </w:numPr>
      <w:tabs>
        <w:tab w:val="clear" w:pos="2898"/>
        <w:tab w:val="num" w:pos="2700"/>
      </w:tabs>
      <w:ind w:left="2736" w:hanging="1008"/>
    </w:pPr>
  </w:style>
  <w:style w:type="paragraph" w:customStyle="1" w:styleId="SOPLevel5">
    <w:name w:val="SOP Level 5"/>
    <w:basedOn w:val="SOPLevel4"/>
    <w:rsid w:val="001E78F8"/>
    <w:pPr>
      <w:numPr>
        <w:ilvl w:val="4"/>
      </w:numPr>
      <w:ind w:left="3960" w:hanging="1224"/>
    </w:pPr>
  </w:style>
  <w:style w:type="paragraph" w:customStyle="1" w:styleId="SOPLevel6">
    <w:name w:val="SOP Level 6"/>
    <w:basedOn w:val="SOPLevel5"/>
    <w:rsid w:val="001E78F8"/>
    <w:pPr>
      <w:numPr>
        <w:ilvl w:val="5"/>
      </w:numPr>
      <w:ind w:left="5400" w:hanging="1440"/>
    </w:pPr>
  </w:style>
  <w:style w:type="paragraph" w:styleId="Header">
    <w:name w:val="header"/>
    <w:basedOn w:val="Normal"/>
    <w:link w:val="HeaderChar"/>
    <w:uiPriority w:val="99"/>
    <w:unhideWhenUsed/>
    <w:rsid w:val="0091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97"/>
  </w:style>
  <w:style w:type="paragraph" w:styleId="Footer">
    <w:name w:val="footer"/>
    <w:basedOn w:val="Normal"/>
    <w:link w:val="FooterChar"/>
    <w:uiPriority w:val="99"/>
    <w:unhideWhenUsed/>
    <w:rsid w:val="0091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97"/>
  </w:style>
  <w:style w:type="paragraph" w:styleId="BalloonText">
    <w:name w:val="Balloon Text"/>
    <w:basedOn w:val="Normal"/>
    <w:link w:val="BalloonTextChar"/>
    <w:uiPriority w:val="99"/>
    <w:semiHidden/>
    <w:unhideWhenUsed/>
    <w:rsid w:val="00120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48"/>
    <w:rPr>
      <w:rFonts w:ascii="Tahoma" w:hAnsi="Tahoma" w:cs="Tahoma"/>
      <w:sz w:val="16"/>
      <w:szCs w:val="16"/>
    </w:rPr>
  </w:style>
  <w:style w:type="table" w:styleId="TableGrid">
    <w:name w:val="Table Grid"/>
    <w:basedOn w:val="TableNormal"/>
    <w:uiPriority w:val="59"/>
    <w:rsid w:val="003739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111B-CDCE-4DE8-AA2C-222CCA1D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SOP: Expiration of IRB Approval</vt:lpstr>
    </vt:vector>
  </TitlesOfParts>
  <Manager>Huron Consulting Group, Inc.</Manager>
  <Company>Huron Consulting Group, Inc.</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Expiration of IRB Approval</dc:title>
  <dc:subject>Huron HRPP Toolkit</dc:subject>
  <dc:creator>Huron Consulting Group, Inc.</dc:creator>
  <cp:keywords>Huron, HRPP, SOP</cp:keywords>
  <dc:description>©2009-2016 Huron Consulting Services, LLC. Use and distribution subject to End User License Agreement</dc:description>
  <cp:lastModifiedBy>Patricia Riehle</cp:lastModifiedBy>
  <cp:revision>4</cp:revision>
  <dcterms:created xsi:type="dcterms:W3CDTF">2023-11-14T14:55:00Z</dcterms:created>
  <dcterms:modified xsi:type="dcterms:W3CDTF">2026-03-13T18:23:00Z</dcterms:modified>
  <cp:category>SOP</cp:category>
</cp:coreProperties>
</file>